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E6" w:rsidRDefault="00EC74E6" w:rsidP="00EC74E6">
      <w:pPr>
        <w:pStyle w:val="1"/>
        <w:spacing w:before="0" w:after="161" w:line="240" w:lineRule="atLeast"/>
        <w:rPr>
          <w:rFonts w:ascii="Georgia" w:hAnsi="Georgia"/>
          <w:b w:val="0"/>
          <w:bCs w:val="0"/>
          <w:color w:val="336699"/>
          <w:sz w:val="32"/>
          <w:szCs w:val="32"/>
        </w:rPr>
      </w:pPr>
      <w:r>
        <w:rPr>
          <w:rFonts w:ascii="Georgia" w:hAnsi="Georgia"/>
          <w:b w:val="0"/>
          <w:bCs w:val="0"/>
          <w:color w:val="336699"/>
          <w:sz w:val="32"/>
          <w:szCs w:val="32"/>
        </w:rPr>
        <w:t xml:space="preserve">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>
        <w:rPr>
          <w:rFonts w:ascii="Georgia" w:hAnsi="Georgia"/>
          <w:b w:val="0"/>
          <w:bCs w:val="0"/>
          <w:color w:val="336699"/>
          <w:sz w:val="32"/>
          <w:szCs w:val="32"/>
        </w:rPr>
        <w:t>интересов</w:t>
      </w:r>
      <w:proofErr w:type="gramEnd"/>
      <w:r>
        <w:rPr>
          <w:rFonts w:ascii="Georgia" w:hAnsi="Georgia"/>
          <w:b w:val="0"/>
          <w:bCs w:val="0"/>
          <w:color w:val="336699"/>
          <w:sz w:val="32"/>
          <w:szCs w:val="32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EC74E6" w:rsidRDefault="00EC74E6" w:rsidP="00EC74E6">
      <w:pPr>
        <w:pStyle w:val="a3"/>
        <w:spacing w:before="240" w:beforeAutospacing="0" w:after="24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EC74E6" w:rsidRDefault="00EC74E6" w:rsidP="00EC74E6">
      <w:pPr>
        <w:pStyle w:val="a3"/>
        <w:spacing w:before="240" w:beforeAutospacing="0" w:after="24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5"/>
          <w:szCs w:val="15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EC74E6" w:rsidRDefault="00EC74E6" w:rsidP="00EC74E6">
      <w:pPr>
        <w:pStyle w:val="a3"/>
        <w:spacing w:before="240" w:beforeAutospacing="0" w:after="24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2010 г. № 925.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(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rPr>
          <w:rFonts w:ascii="Arial" w:hAnsi="Arial" w:cs="Arial"/>
          <w:color w:val="000000"/>
          <w:sz w:val="15"/>
          <w:szCs w:val="15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EC74E6" w:rsidRDefault="00EC74E6" w:rsidP="00EC74E6">
      <w:pPr>
        <w:pStyle w:val="a3"/>
        <w:spacing w:before="240" w:beforeAutospacing="0" w:after="24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EC74E6" w:rsidRDefault="00EC74E6" w:rsidP="00EC74E6">
      <w:pPr>
        <w:pStyle w:val="a3"/>
        <w:spacing w:before="240" w:beforeAutospacing="0" w:after="24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EC74E6" w:rsidRDefault="00EC74E6" w:rsidP="00EC74E6">
      <w:pPr>
        <w:numPr>
          <w:ilvl w:val="0"/>
          <w:numId w:val="14"/>
        </w:numPr>
        <w:spacing w:after="240" w:line="211" w:lineRule="atLeast"/>
        <w:ind w:left="0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EC74E6" w:rsidRDefault="00EC74E6" w:rsidP="00EC74E6">
      <w:pPr>
        <w:numPr>
          <w:ilvl w:val="0"/>
          <w:numId w:val="14"/>
        </w:numPr>
        <w:spacing w:after="240" w:line="211" w:lineRule="atLeast"/>
        <w:ind w:left="0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EC74E6" w:rsidRDefault="00EC74E6" w:rsidP="00EC74E6">
      <w:pPr>
        <w:pStyle w:val="a3"/>
        <w:spacing w:before="240" w:beforeAutospacing="0" w:after="24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5"/>
          <w:szCs w:val="15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  <w:proofErr w:type="gramEnd"/>
    </w:p>
    <w:p w:rsidR="00EC74E6" w:rsidRDefault="00EC74E6" w:rsidP="00EC74E6">
      <w:pPr>
        <w:pStyle w:val="a3"/>
        <w:spacing w:before="240" w:beforeAutospacing="0" w:after="24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5"/>
          <w:szCs w:val="15"/>
        </w:rP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решении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EC74E6" w:rsidRDefault="00EC74E6" w:rsidP="00EC74E6">
      <w:pPr>
        <w:pStyle w:val="a3"/>
        <w:spacing w:before="240" w:beforeAutospacing="0" w:after="24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5"/>
          <w:szCs w:val="15"/>
        </w:rPr>
        <w:lastRenderedPageBreak/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  <w:proofErr w:type="gramEnd"/>
    </w:p>
    <w:p w:rsidR="00EC74E6" w:rsidRDefault="00EC74E6" w:rsidP="00EC74E6">
      <w:pPr>
        <w:pStyle w:val="a3"/>
        <w:spacing w:before="240" w:beforeAutospacing="0" w:after="24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а)     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C74E6" w:rsidRDefault="00EC74E6" w:rsidP="00EC74E6">
      <w:pPr>
        <w:pStyle w:val="a3"/>
        <w:spacing w:before="240" w:beforeAutospacing="0" w:after="24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б)      отказать гражданину в замещении должности в коммерческой или некоммерческой организации либо в выполнении работы 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EC74E6" w:rsidRDefault="00EC74E6" w:rsidP="00EC74E6">
      <w:pPr>
        <w:pStyle w:val="a3"/>
        <w:spacing w:before="240" w:beforeAutospacing="0" w:after="24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5"/>
          <w:szCs w:val="15"/>
        </w:rPr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сведения о последнем месте своей службы.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>
        <w:rPr>
          <w:rFonts w:ascii="Arial" w:hAnsi="Arial" w:cs="Arial"/>
          <w:color w:val="000000"/>
          <w:sz w:val="15"/>
          <w:szCs w:val="15"/>
        </w:rPr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EC74E6" w:rsidRDefault="00EC74E6" w:rsidP="00EC74E6">
      <w:pPr>
        <w:pStyle w:val="a3"/>
        <w:spacing w:before="240" w:beforeAutospacing="0" w:after="24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EC74E6" w:rsidRDefault="00EC74E6" w:rsidP="00EC74E6">
      <w:pPr>
        <w:pStyle w:val="a3"/>
        <w:spacing w:before="240" w:beforeAutospacing="0" w:after="24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5"/>
          <w:szCs w:val="15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организации отдельных функций государственного управления.</w:t>
      </w:r>
    </w:p>
    <w:p w:rsidR="00EC74E6" w:rsidRDefault="00EC74E6" w:rsidP="00EC74E6">
      <w:pPr>
        <w:pStyle w:val="a3"/>
        <w:spacing w:before="240" w:beforeAutospacing="0" w:after="24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5"/>
          <w:szCs w:val="15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готовить проекты таких решений.</w:t>
      </w:r>
    </w:p>
    <w:p w:rsidR="00EC74E6" w:rsidRDefault="00EC74E6" w:rsidP="00EC74E6">
      <w:pPr>
        <w:pStyle w:val="a3"/>
        <w:spacing w:before="240" w:beforeAutospacing="0" w:after="24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Случаями, когда дача согласия комиссией не требуется, являются следующие ситуации:</w:t>
      </w:r>
    </w:p>
    <w:p w:rsidR="00EC74E6" w:rsidRDefault="00EC74E6" w:rsidP="00EC74E6">
      <w:pPr>
        <w:numPr>
          <w:ilvl w:val="0"/>
          <w:numId w:val="15"/>
        </w:numPr>
        <w:spacing w:after="240" w:line="211" w:lineRule="atLeast"/>
        <w:ind w:left="0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гражданин переходит на работу по трудовому договору в другой государственный орган;</w:t>
      </w:r>
    </w:p>
    <w:p w:rsidR="00EC74E6" w:rsidRDefault="00EC74E6" w:rsidP="00EC74E6">
      <w:pPr>
        <w:numPr>
          <w:ilvl w:val="0"/>
          <w:numId w:val="15"/>
        </w:numPr>
        <w:spacing w:after="240" w:line="211" w:lineRule="atLeast"/>
        <w:ind w:left="0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EC74E6" w:rsidRDefault="00EC74E6" w:rsidP="00EC74E6">
      <w:pPr>
        <w:numPr>
          <w:ilvl w:val="0"/>
          <w:numId w:val="15"/>
        </w:numPr>
        <w:spacing w:after="240" w:line="211" w:lineRule="atLeast"/>
        <w:ind w:left="0"/>
        <w:rPr>
          <w:rFonts w:ascii="Arial" w:hAnsi="Arial" w:cs="Arial"/>
          <w:color w:val="222222"/>
          <w:sz w:val="15"/>
          <w:szCs w:val="15"/>
        </w:rPr>
      </w:pPr>
      <w:proofErr w:type="gramStart"/>
      <w:r>
        <w:rPr>
          <w:rFonts w:ascii="Arial" w:hAnsi="Arial" w:cs="Arial"/>
          <w:color w:val="222222"/>
          <w:sz w:val="15"/>
          <w:szCs w:val="15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EC74E6" w:rsidRDefault="00EC74E6" w:rsidP="00EC74E6">
      <w:pPr>
        <w:pStyle w:val="a3"/>
        <w:spacing w:before="240" w:beforeAutospacing="0" w:after="24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5"/>
          <w:szCs w:val="15"/>
        </w:rP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>
        <w:rPr>
          <w:rFonts w:ascii="Arial" w:hAnsi="Arial" w:cs="Arial"/>
          <w:color w:val="000000"/>
          <w:sz w:val="15"/>
          <w:szCs w:val="15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AF4D65" w:rsidRDefault="00EC74E6" w:rsidP="00EC74E6">
      <w:pPr>
        <w:rPr>
          <w:szCs w:val="28"/>
        </w:rPr>
      </w:pPr>
      <w:hyperlink r:id="rId8" w:history="1">
        <w:r w:rsidRPr="00FB6BBC">
          <w:rPr>
            <w:rStyle w:val="af1"/>
            <w:szCs w:val="28"/>
          </w:rPr>
          <w:t>http://www.rosmintrud.ru/ministry/anticorruption/Methods/0</w:t>
        </w:r>
      </w:hyperlink>
    </w:p>
    <w:p w:rsidR="00EC74E6" w:rsidRPr="00EC74E6" w:rsidRDefault="00EC74E6" w:rsidP="00EC74E6">
      <w:pPr>
        <w:rPr>
          <w:szCs w:val="28"/>
        </w:rPr>
      </w:pPr>
    </w:p>
    <w:sectPr w:rsidR="00EC74E6" w:rsidRPr="00EC74E6" w:rsidSect="00E53AE1">
      <w:headerReference w:type="even" r:id="rId9"/>
      <w:headerReference w:type="default" r:id="rId10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8A5" w:rsidRDefault="00B848A5">
      <w:r>
        <w:separator/>
      </w:r>
    </w:p>
  </w:endnote>
  <w:endnote w:type="continuationSeparator" w:id="0">
    <w:p w:rsidR="00B848A5" w:rsidRDefault="00B84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8A5" w:rsidRDefault="00B848A5">
      <w:r>
        <w:separator/>
      </w:r>
    </w:p>
  </w:footnote>
  <w:footnote w:type="continuationSeparator" w:id="0">
    <w:p w:rsidR="00B848A5" w:rsidRDefault="00B84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CA" w:rsidRDefault="00201003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30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30CA" w:rsidRDefault="005A30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5509"/>
      <w:docPartObj>
        <w:docPartGallery w:val="Page Numbers (Top of Page)"/>
        <w:docPartUnique/>
      </w:docPartObj>
    </w:sdtPr>
    <w:sdtContent>
      <w:p w:rsidR="005A30CA" w:rsidRDefault="00201003">
        <w:pPr>
          <w:pStyle w:val="a4"/>
          <w:jc w:val="center"/>
        </w:pPr>
        <w:r>
          <w:fldChar w:fldCharType="begin"/>
        </w:r>
        <w:r w:rsidR="008C6C58">
          <w:instrText xml:space="preserve"> PAGE   \* MERGEFORMAT </w:instrText>
        </w:r>
        <w:r>
          <w:fldChar w:fldCharType="separate"/>
        </w:r>
        <w:r w:rsidR="00EC74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30CA" w:rsidRDefault="005A30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60B0E9F"/>
    <w:multiLevelType w:val="hybridMultilevel"/>
    <w:tmpl w:val="E978310C"/>
    <w:lvl w:ilvl="0" w:tplc="0608E3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C1E0997"/>
    <w:multiLevelType w:val="hybridMultilevel"/>
    <w:tmpl w:val="1388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740F"/>
    <w:multiLevelType w:val="multilevel"/>
    <w:tmpl w:val="45F054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14A3E"/>
    <w:multiLevelType w:val="multilevel"/>
    <w:tmpl w:val="5FF234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41564E63"/>
    <w:multiLevelType w:val="multilevel"/>
    <w:tmpl w:val="E506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C045F08"/>
    <w:multiLevelType w:val="hybridMultilevel"/>
    <w:tmpl w:val="8DD4A240"/>
    <w:lvl w:ilvl="0" w:tplc="0A4C6816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35EEE"/>
    <w:multiLevelType w:val="multilevel"/>
    <w:tmpl w:val="3FDC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640EEF"/>
    <w:multiLevelType w:val="multilevel"/>
    <w:tmpl w:val="1758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7283A"/>
    <w:rsid w:val="00003E43"/>
    <w:rsid w:val="000117B8"/>
    <w:rsid w:val="00013B5D"/>
    <w:rsid w:val="00014CBC"/>
    <w:rsid w:val="000175D4"/>
    <w:rsid w:val="00022B96"/>
    <w:rsid w:val="000322C3"/>
    <w:rsid w:val="000362C2"/>
    <w:rsid w:val="00043D04"/>
    <w:rsid w:val="00047997"/>
    <w:rsid w:val="00052EFA"/>
    <w:rsid w:val="00060243"/>
    <w:rsid w:val="00061367"/>
    <w:rsid w:val="0006394A"/>
    <w:rsid w:val="00065A0F"/>
    <w:rsid w:val="000709C5"/>
    <w:rsid w:val="000733A8"/>
    <w:rsid w:val="00074822"/>
    <w:rsid w:val="00074A08"/>
    <w:rsid w:val="00075CEF"/>
    <w:rsid w:val="00075F4A"/>
    <w:rsid w:val="000855DD"/>
    <w:rsid w:val="00087E59"/>
    <w:rsid w:val="00090227"/>
    <w:rsid w:val="00092C67"/>
    <w:rsid w:val="00093E0E"/>
    <w:rsid w:val="0009550C"/>
    <w:rsid w:val="000A5A82"/>
    <w:rsid w:val="000B16C6"/>
    <w:rsid w:val="000C5311"/>
    <w:rsid w:val="000D0768"/>
    <w:rsid w:val="000D6AB8"/>
    <w:rsid w:val="000D76A9"/>
    <w:rsid w:val="000E0F9F"/>
    <w:rsid w:val="000E3E75"/>
    <w:rsid w:val="000E456B"/>
    <w:rsid w:val="000F4B30"/>
    <w:rsid w:val="000F6B3A"/>
    <w:rsid w:val="00120649"/>
    <w:rsid w:val="001231FE"/>
    <w:rsid w:val="001246D6"/>
    <w:rsid w:val="0012571A"/>
    <w:rsid w:val="00130EDD"/>
    <w:rsid w:val="00134FDE"/>
    <w:rsid w:val="0013710F"/>
    <w:rsid w:val="0014276D"/>
    <w:rsid w:val="00143945"/>
    <w:rsid w:val="00162202"/>
    <w:rsid w:val="00164707"/>
    <w:rsid w:val="00164CD2"/>
    <w:rsid w:val="00165F89"/>
    <w:rsid w:val="00170551"/>
    <w:rsid w:val="00172DBE"/>
    <w:rsid w:val="0017477C"/>
    <w:rsid w:val="00176EBD"/>
    <w:rsid w:val="001814CE"/>
    <w:rsid w:val="00184C13"/>
    <w:rsid w:val="001855E0"/>
    <w:rsid w:val="0019032D"/>
    <w:rsid w:val="00194494"/>
    <w:rsid w:val="001A10A2"/>
    <w:rsid w:val="001A7236"/>
    <w:rsid w:val="001A7824"/>
    <w:rsid w:val="001B2BA0"/>
    <w:rsid w:val="001B76BB"/>
    <w:rsid w:val="001C1D13"/>
    <w:rsid w:val="001C6BAC"/>
    <w:rsid w:val="001D0ABB"/>
    <w:rsid w:val="001D3EE0"/>
    <w:rsid w:val="001D5141"/>
    <w:rsid w:val="001E6A73"/>
    <w:rsid w:val="001F0CB5"/>
    <w:rsid w:val="001F439B"/>
    <w:rsid w:val="001F53B6"/>
    <w:rsid w:val="00200DC7"/>
    <w:rsid w:val="00200F7A"/>
    <w:rsid w:val="00201003"/>
    <w:rsid w:val="00204BF4"/>
    <w:rsid w:val="002227FB"/>
    <w:rsid w:val="00223127"/>
    <w:rsid w:val="002266FB"/>
    <w:rsid w:val="0023041E"/>
    <w:rsid w:val="00231D5F"/>
    <w:rsid w:val="00233397"/>
    <w:rsid w:val="00236D0E"/>
    <w:rsid w:val="00237539"/>
    <w:rsid w:val="0024087C"/>
    <w:rsid w:val="00246D3E"/>
    <w:rsid w:val="002477D9"/>
    <w:rsid w:val="00270F5D"/>
    <w:rsid w:val="00274F02"/>
    <w:rsid w:val="00275A08"/>
    <w:rsid w:val="00281AD4"/>
    <w:rsid w:val="00282BE8"/>
    <w:rsid w:val="00284E8D"/>
    <w:rsid w:val="0028793F"/>
    <w:rsid w:val="00287F13"/>
    <w:rsid w:val="0029334A"/>
    <w:rsid w:val="00297852"/>
    <w:rsid w:val="002A4CC3"/>
    <w:rsid w:val="002A4F76"/>
    <w:rsid w:val="002A6203"/>
    <w:rsid w:val="002B3840"/>
    <w:rsid w:val="002C0270"/>
    <w:rsid w:val="002C1348"/>
    <w:rsid w:val="002C2169"/>
    <w:rsid w:val="002C3607"/>
    <w:rsid w:val="002C58C7"/>
    <w:rsid w:val="002C7B99"/>
    <w:rsid w:val="002D2835"/>
    <w:rsid w:val="002E2B21"/>
    <w:rsid w:val="002E5C09"/>
    <w:rsid w:val="002F78B1"/>
    <w:rsid w:val="00304E77"/>
    <w:rsid w:val="003052F1"/>
    <w:rsid w:val="00307942"/>
    <w:rsid w:val="00311CA6"/>
    <w:rsid w:val="00315891"/>
    <w:rsid w:val="00315C6C"/>
    <w:rsid w:val="00317FDA"/>
    <w:rsid w:val="0032109C"/>
    <w:rsid w:val="00336F3E"/>
    <w:rsid w:val="0033738C"/>
    <w:rsid w:val="00345935"/>
    <w:rsid w:val="003505B0"/>
    <w:rsid w:val="00356060"/>
    <w:rsid w:val="003573B9"/>
    <w:rsid w:val="00360DEB"/>
    <w:rsid w:val="00361A11"/>
    <w:rsid w:val="00362F7F"/>
    <w:rsid w:val="003716B3"/>
    <w:rsid w:val="00371F11"/>
    <w:rsid w:val="0037330B"/>
    <w:rsid w:val="003857CB"/>
    <w:rsid w:val="00387616"/>
    <w:rsid w:val="00392F87"/>
    <w:rsid w:val="00396D8D"/>
    <w:rsid w:val="003A75AE"/>
    <w:rsid w:val="003B4D51"/>
    <w:rsid w:val="003B57F1"/>
    <w:rsid w:val="003C2CBF"/>
    <w:rsid w:val="003C6B0C"/>
    <w:rsid w:val="003D0C52"/>
    <w:rsid w:val="003D2428"/>
    <w:rsid w:val="003E7316"/>
    <w:rsid w:val="003F18A7"/>
    <w:rsid w:val="0040401B"/>
    <w:rsid w:val="00413355"/>
    <w:rsid w:val="004423E4"/>
    <w:rsid w:val="0044293A"/>
    <w:rsid w:val="00461423"/>
    <w:rsid w:val="004623D6"/>
    <w:rsid w:val="004667F6"/>
    <w:rsid w:val="00475980"/>
    <w:rsid w:val="004813AF"/>
    <w:rsid w:val="004851A0"/>
    <w:rsid w:val="0048619D"/>
    <w:rsid w:val="0049515B"/>
    <w:rsid w:val="00495471"/>
    <w:rsid w:val="004971E9"/>
    <w:rsid w:val="004A1071"/>
    <w:rsid w:val="004A115A"/>
    <w:rsid w:val="004A12E8"/>
    <w:rsid w:val="004A3E82"/>
    <w:rsid w:val="004A5AB3"/>
    <w:rsid w:val="004C645B"/>
    <w:rsid w:val="004D1D64"/>
    <w:rsid w:val="004D7C4F"/>
    <w:rsid w:val="004E0EA7"/>
    <w:rsid w:val="004F109F"/>
    <w:rsid w:val="004F46AC"/>
    <w:rsid w:val="004F5B23"/>
    <w:rsid w:val="0050059B"/>
    <w:rsid w:val="00506644"/>
    <w:rsid w:val="00523BAE"/>
    <w:rsid w:val="00527F69"/>
    <w:rsid w:val="00532399"/>
    <w:rsid w:val="005460DD"/>
    <w:rsid w:val="005466CE"/>
    <w:rsid w:val="00557B35"/>
    <w:rsid w:val="0056324C"/>
    <w:rsid w:val="00573FCF"/>
    <w:rsid w:val="00576105"/>
    <w:rsid w:val="00581C96"/>
    <w:rsid w:val="00582E61"/>
    <w:rsid w:val="00591355"/>
    <w:rsid w:val="00591D07"/>
    <w:rsid w:val="00594A69"/>
    <w:rsid w:val="00594DDE"/>
    <w:rsid w:val="005A0605"/>
    <w:rsid w:val="005A30CA"/>
    <w:rsid w:val="005A59BC"/>
    <w:rsid w:val="005A5A1E"/>
    <w:rsid w:val="005B0E95"/>
    <w:rsid w:val="005B1E77"/>
    <w:rsid w:val="005B212D"/>
    <w:rsid w:val="005B6BC7"/>
    <w:rsid w:val="005D25C7"/>
    <w:rsid w:val="005D4618"/>
    <w:rsid w:val="005E031D"/>
    <w:rsid w:val="005F057B"/>
    <w:rsid w:val="005F4610"/>
    <w:rsid w:val="005F6BEB"/>
    <w:rsid w:val="005F74FA"/>
    <w:rsid w:val="00605D6C"/>
    <w:rsid w:val="006063C9"/>
    <w:rsid w:val="006066A4"/>
    <w:rsid w:val="0062718C"/>
    <w:rsid w:val="00636029"/>
    <w:rsid w:val="00637947"/>
    <w:rsid w:val="0064073F"/>
    <w:rsid w:val="006511FB"/>
    <w:rsid w:val="0065154D"/>
    <w:rsid w:val="0065438D"/>
    <w:rsid w:val="006600E9"/>
    <w:rsid w:val="00664615"/>
    <w:rsid w:val="006725E2"/>
    <w:rsid w:val="00672BB7"/>
    <w:rsid w:val="00681557"/>
    <w:rsid w:val="00687890"/>
    <w:rsid w:val="006A6B3E"/>
    <w:rsid w:val="006B5364"/>
    <w:rsid w:val="006B7DB1"/>
    <w:rsid w:val="006C0D67"/>
    <w:rsid w:val="006C5973"/>
    <w:rsid w:val="006D35DB"/>
    <w:rsid w:val="006D6355"/>
    <w:rsid w:val="006D756F"/>
    <w:rsid w:val="006F7418"/>
    <w:rsid w:val="007054DD"/>
    <w:rsid w:val="00721545"/>
    <w:rsid w:val="00731233"/>
    <w:rsid w:val="0073328C"/>
    <w:rsid w:val="0074101C"/>
    <w:rsid w:val="00742AAC"/>
    <w:rsid w:val="007547B2"/>
    <w:rsid w:val="007547B4"/>
    <w:rsid w:val="00756A98"/>
    <w:rsid w:val="00763A94"/>
    <w:rsid w:val="00764FF3"/>
    <w:rsid w:val="00765B83"/>
    <w:rsid w:val="0077283A"/>
    <w:rsid w:val="00774E5B"/>
    <w:rsid w:val="0077522F"/>
    <w:rsid w:val="00776393"/>
    <w:rsid w:val="007813C0"/>
    <w:rsid w:val="007872A9"/>
    <w:rsid w:val="00791734"/>
    <w:rsid w:val="00791D4B"/>
    <w:rsid w:val="00796684"/>
    <w:rsid w:val="007A5B27"/>
    <w:rsid w:val="007B319B"/>
    <w:rsid w:val="007B5C05"/>
    <w:rsid w:val="007B769D"/>
    <w:rsid w:val="007C0A12"/>
    <w:rsid w:val="007C7986"/>
    <w:rsid w:val="007D6411"/>
    <w:rsid w:val="007E1658"/>
    <w:rsid w:val="007E7174"/>
    <w:rsid w:val="00803118"/>
    <w:rsid w:val="00803C7B"/>
    <w:rsid w:val="00814915"/>
    <w:rsid w:val="00825010"/>
    <w:rsid w:val="0083397A"/>
    <w:rsid w:val="00841691"/>
    <w:rsid w:val="0084239C"/>
    <w:rsid w:val="00842B73"/>
    <w:rsid w:val="00845D6A"/>
    <w:rsid w:val="00856ABB"/>
    <w:rsid w:val="008639B2"/>
    <w:rsid w:val="00865177"/>
    <w:rsid w:val="008655F5"/>
    <w:rsid w:val="0087007D"/>
    <w:rsid w:val="00874B64"/>
    <w:rsid w:val="008754BD"/>
    <w:rsid w:val="00877AE7"/>
    <w:rsid w:val="00880770"/>
    <w:rsid w:val="008836E9"/>
    <w:rsid w:val="0089620E"/>
    <w:rsid w:val="008A1039"/>
    <w:rsid w:val="008A156D"/>
    <w:rsid w:val="008A46D0"/>
    <w:rsid w:val="008A5F63"/>
    <w:rsid w:val="008B411C"/>
    <w:rsid w:val="008B4946"/>
    <w:rsid w:val="008B5A2B"/>
    <w:rsid w:val="008B7631"/>
    <w:rsid w:val="008C34B5"/>
    <w:rsid w:val="008C6C58"/>
    <w:rsid w:val="008D4695"/>
    <w:rsid w:val="008D50A0"/>
    <w:rsid w:val="008E04E0"/>
    <w:rsid w:val="008E6DEA"/>
    <w:rsid w:val="008F1981"/>
    <w:rsid w:val="008F2C8E"/>
    <w:rsid w:val="00900FE2"/>
    <w:rsid w:val="00901084"/>
    <w:rsid w:val="00901EF3"/>
    <w:rsid w:val="00904242"/>
    <w:rsid w:val="00905445"/>
    <w:rsid w:val="0090720D"/>
    <w:rsid w:val="00907E4E"/>
    <w:rsid w:val="009139F4"/>
    <w:rsid w:val="00925F51"/>
    <w:rsid w:val="00926193"/>
    <w:rsid w:val="009314E3"/>
    <w:rsid w:val="0093564F"/>
    <w:rsid w:val="00935C9D"/>
    <w:rsid w:val="00941720"/>
    <w:rsid w:val="00947E6D"/>
    <w:rsid w:val="00952895"/>
    <w:rsid w:val="00965890"/>
    <w:rsid w:val="00966063"/>
    <w:rsid w:val="009767CF"/>
    <w:rsid w:val="00981E02"/>
    <w:rsid w:val="009867B5"/>
    <w:rsid w:val="009870F2"/>
    <w:rsid w:val="009A15A9"/>
    <w:rsid w:val="009B087B"/>
    <w:rsid w:val="009B3B96"/>
    <w:rsid w:val="009B4CFC"/>
    <w:rsid w:val="009C2D7E"/>
    <w:rsid w:val="009C66FA"/>
    <w:rsid w:val="009D7F4A"/>
    <w:rsid w:val="009E4CE3"/>
    <w:rsid w:val="009E606F"/>
    <w:rsid w:val="009E6CEE"/>
    <w:rsid w:val="009F04BA"/>
    <w:rsid w:val="009F1876"/>
    <w:rsid w:val="009F30F5"/>
    <w:rsid w:val="00A000B7"/>
    <w:rsid w:val="00A13F25"/>
    <w:rsid w:val="00A23809"/>
    <w:rsid w:val="00A26235"/>
    <w:rsid w:val="00A37961"/>
    <w:rsid w:val="00A46D98"/>
    <w:rsid w:val="00A51019"/>
    <w:rsid w:val="00A549F2"/>
    <w:rsid w:val="00A57DC0"/>
    <w:rsid w:val="00A66112"/>
    <w:rsid w:val="00A67356"/>
    <w:rsid w:val="00A67888"/>
    <w:rsid w:val="00A717EC"/>
    <w:rsid w:val="00A80C79"/>
    <w:rsid w:val="00A82041"/>
    <w:rsid w:val="00A82165"/>
    <w:rsid w:val="00A84486"/>
    <w:rsid w:val="00A91F25"/>
    <w:rsid w:val="00A956D1"/>
    <w:rsid w:val="00AB2909"/>
    <w:rsid w:val="00AB43E7"/>
    <w:rsid w:val="00AB4F26"/>
    <w:rsid w:val="00AC1C31"/>
    <w:rsid w:val="00AC3091"/>
    <w:rsid w:val="00AC5552"/>
    <w:rsid w:val="00AD276B"/>
    <w:rsid w:val="00AD2A59"/>
    <w:rsid w:val="00AD6826"/>
    <w:rsid w:val="00AD6E03"/>
    <w:rsid w:val="00AE2342"/>
    <w:rsid w:val="00AE63DC"/>
    <w:rsid w:val="00AE714D"/>
    <w:rsid w:val="00AF33B2"/>
    <w:rsid w:val="00AF4D65"/>
    <w:rsid w:val="00B12863"/>
    <w:rsid w:val="00B1396C"/>
    <w:rsid w:val="00B1554C"/>
    <w:rsid w:val="00B24B09"/>
    <w:rsid w:val="00B32BA9"/>
    <w:rsid w:val="00B3619D"/>
    <w:rsid w:val="00B4336E"/>
    <w:rsid w:val="00B463AD"/>
    <w:rsid w:val="00B54899"/>
    <w:rsid w:val="00B617A9"/>
    <w:rsid w:val="00B67CF0"/>
    <w:rsid w:val="00B701D5"/>
    <w:rsid w:val="00B848A5"/>
    <w:rsid w:val="00B8524D"/>
    <w:rsid w:val="00B900FA"/>
    <w:rsid w:val="00B90C58"/>
    <w:rsid w:val="00B97642"/>
    <w:rsid w:val="00BA071F"/>
    <w:rsid w:val="00BA4311"/>
    <w:rsid w:val="00BB29E2"/>
    <w:rsid w:val="00BC1751"/>
    <w:rsid w:val="00BC4F9F"/>
    <w:rsid w:val="00BD0F72"/>
    <w:rsid w:val="00BD2494"/>
    <w:rsid w:val="00BD3791"/>
    <w:rsid w:val="00BD5F86"/>
    <w:rsid w:val="00BD742A"/>
    <w:rsid w:val="00BE21AC"/>
    <w:rsid w:val="00BE2732"/>
    <w:rsid w:val="00BE2FE3"/>
    <w:rsid w:val="00BF60C2"/>
    <w:rsid w:val="00C01653"/>
    <w:rsid w:val="00C0403F"/>
    <w:rsid w:val="00C055B3"/>
    <w:rsid w:val="00C160C0"/>
    <w:rsid w:val="00C16CE5"/>
    <w:rsid w:val="00C21133"/>
    <w:rsid w:val="00C35036"/>
    <w:rsid w:val="00C40526"/>
    <w:rsid w:val="00C437A3"/>
    <w:rsid w:val="00C47CD7"/>
    <w:rsid w:val="00C50266"/>
    <w:rsid w:val="00C56000"/>
    <w:rsid w:val="00C56712"/>
    <w:rsid w:val="00C706E8"/>
    <w:rsid w:val="00C94E05"/>
    <w:rsid w:val="00C95464"/>
    <w:rsid w:val="00CA44F7"/>
    <w:rsid w:val="00CA4D27"/>
    <w:rsid w:val="00CB096E"/>
    <w:rsid w:val="00CB162A"/>
    <w:rsid w:val="00CB1B9B"/>
    <w:rsid w:val="00CB4EB8"/>
    <w:rsid w:val="00CB5AE7"/>
    <w:rsid w:val="00CB6CE7"/>
    <w:rsid w:val="00CC0199"/>
    <w:rsid w:val="00CC45EB"/>
    <w:rsid w:val="00CD0712"/>
    <w:rsid w:val="00CE1460"/>
    <w:rsid w:val="00CE3FE4"/>
    <w:rsid w:val="00CF276D"/>
    <w:rsid w:val="00CF2E46"/>
    <w:rsid w:val="00CF2FF6"/>
    <w:rsid w:val="00CF59C6"/>
    <w:rsid w:val="00CF65F8"/>
    <w:rsid w:val="00CF76B0"/>
    <w:rsid w:val="00D009C1"/>
    <w:rsid w:val="00D01F16"/>
    <w:rsid w:val="00D026F5"/>
    <w:rsid w:val="00D0551E"/>
    <w:rsid w:val="00D064CB"/>
    <w:rsid w:val="00D072C6"/>
    <w:rsid w:val="00D130D5"/>
    <w:rsid w:val="00D15D7D"/>
    <w:rsid w:val="00D25438"/>
    <w:rsid w:val="00D42DAD"/>
    <w:rsid w:val="00D442CC"/>
    <w:rsid w:val="00D4663C"/>
    <w:rsid w:val="00D55E1A"/>
    <w:rsid w:val="00D6069B"/>
    <w:rsid w:val="00D66F70"/>
    <w:rsid w:val="00D711E7"/>
    <w:rsid w:val="00D73544"/>
    <w:rsid w:val="00D83966"/>
    <w:rsid w:val="00D9393D"/>
    <w:rsid w:val="00D9551D"/>
    <w:rsid w:val="00DA1FCD"/>
    <w:rsid w:val="00DA385C"/>
    <w:rsid w:val="00DA5B9A"/>
    <w:rsid w:val="00DA5E7E"/>
    <w:rsid w:val="00DA6D88"/>
    <w:rsid w:val="00DA73BA"/>
    <w:rsid w:val="00DB2551"/>
    <w:rsid w:val="00DB50B6"/>
    <w:rsid w:val="00DC1175"/>
    <w:rsid w:val="00DC6BBA"/>
    <w:rsid w:val="00DD4206"/>
    <w:rsid w:val="00DD53FA"/>
    <w:rsid w:val="00DD6416"/>
    <w:rsid w:val="00DD6E62"/>
    <w:rsid w:val="00DE1E71"/>
    <w:rsid w:val="00DE34B8"/>
    <w:rsid w:val="00DF341E"/>
    <w:rsid w:val="00DF4A25"/>
    <w:rsid w:val="00DF53BF"/>
    <w:rsid w:val="00DF6AF6"/>
    <w:rsid w:val="00E01147"/>
    <w:rsid w:val="00E05E46"/>
    <w:rsid w:val="00E107CC"/>
    <w:rsid w:val="00E17081"/>
    <w:rsid w:val="00E17BD7"/>
    <w:rsid w:val="00E261D6"/>
    <w:rsid w:val="00E4679D"/>
    <w:rsid w:val="00E46FAF"/>
    <w:rsid w:val="00E501AC"/>
    <w:rsid w:val="00E51EF8"/>
    <w:rsid w:val="00E53920"/>
    <w:rsid w:val="00E53AE1"/>
    <w:rsid w:val="00E64DD4"/>
    <w:rsid w:val="00E66852"/>
    <w:rsid w:val="00E750D5"/>
    <w:rsid w:val="00E75F63"/>
    <w:rsid w:val="00E831B4"/>
    <w:rsid w:val="00E8345C"/>
    <w:rsid w:val="00E85E56"/>
    <w:rsid w:val="00E872A0"/>
    <w:rsid w:val="00E93BFB"/>
    <w:rsid w:val="00E968A5"/>
    <w:rsid w:val="00E97237"/>
    <w:rsid w:val="00E97805"/>
    <w:rsid w:val="00EA1F4A"/>
    <w:rsid w:val="00EB1682"/>
    <w:rsid w:val="00EB1890"/>
    <w:rsid w:val="00EB7640"/>
    <w:rsid w:val="00EC30C7"/>
    <w:rsid w:val="00EC74E6"/>
    <w:rsid w:val="00ED0389"/>
    <w:rsid w:val="00ED4932"/>
    <w:rsid w:val="00ED5180"/>
    <w:rsid w:val="00ED53E7"/>
    <w:rsid w:val="00EE3A04"/>
    <w:rsid w:val="00EF66C3"/>
    <w:rsid w:val="00EF7693"/>
    <w:rsid w:val="00F0135C"/>
    <w:rsid w:val="00F150ED"/>
    <w:rsid w:val="00F157A6"/>
    <w:rsid w:val="00F21ABA"/>
    <w:rsid w:val="00F25CF1"/>
    <w:rsid w:val="00F265D8"/>
    <w:rsid w:val="00F271E6"/>
    <w:rsid w:val="00F3323E"/>
    <w:rsid w:val="00F33C9D"/>
    <w:rsid w:val="00F3419E"/>
    <w:rsid w:val="00F36362"/>
    <w:rsid w:val="00F42064"/>
    <w:rsid w:val="00F45381"/>
    <w:rsid w:val="00F6555A"/>
    <w:rsid w:val="00F76E82"/>
    <w:rsid w:val="00F77C32"/>
    <w:rsid w:val="00F8089C"/>
    <w:rsid w:val="00F92D36"/>
    <w:rsid w:val="00F97805"/>
    <w:rsid w:val="00FA38FA"/>
    <w:rsid w:val="00FA3F63"/>
    <w:rsid w:val="00FA4662"/>
    <w:rsid w:val="00FA5B4E"/>
    <w:rsid w:val="00FB201C"/>
    <w:rsid w:val="00FB5762"/>
    <w:rsid w:val="00FC3B3A"/>
    <w:rsid w:val="00FD361E"/>
    <w:rsid w:val="00FE0F65"/>
    <w:rsid w:val="00FE141A"/>
    <w:rsid w:val="00FE7BD9"/>
    <w:rsid w:val="00FF1C6E"/>
    <w:rsid w:val="00FF2355"/>
    <w:rsid w:val="00FF6B81"/>
    <w:rsid w:val="00FF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9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rsid w:val="00FE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7BD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7BD9"/>
    <w:rPr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FE7BD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9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d">
    <w:name w:val="Основной текст + Полужирный"/>
    <w:aliases w:val="Интервал 0 pt"/>
    <w:basedOn w:val="a0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e">
    <w:name w:val="List Paragraph"/>
    <w:basedOn w:val="a"/>
    <w:uiPriority w:val="34"/>
    <w:qFormat/>
    <w:rsid w:val="002E5C09"/>
    <w:pPr>
      <w:ind w:left="720"/>
      <w:contextualSpacing/>
    </w:pPr>
  </w:style>
  <w:style w:type="character" w:customStyle="1" w:styleId="af">
    <w:name w:val="Основной текст Знак"/>
    <w:basedOn w:val="a0"/>
    <w:link w:val="af0"/>
    <w:rsid w:val="00134FDE"/>
    <w:rPr>
      <w:spacing w:val="-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11">
    <w:name w:val="Основной текст Знак1"/>
    <w:basedOn w:val="a0"/>
    <w:rsid w:val="00134FD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FC"/>
    <w:rPr>
      <w:sz w:val="24"/>
      <w:szCs w:val="24"/>
    </w:rPr>
  </w:style>
  <w:style w:type="character" w:styleId="af1">
    <w:name w:val="Hyperlink"/>
    <w:basedOn w:val="a0"/>
    <w:uiPriority w:val="99"/>
    <w:unhideWhenUsed/>
    <w:rsid w:val="000175D4"/>
    <w:rPr>
      <w:color w:val="0000FF"/>
      <w:u w:val="single"/>
    </w:rPr>
  </w:style>
  <w:style w:type="character" w:customStyle="1" w:styleId="FontStyle12">
    <w:name w:val="Font Style12"/>
    <w:basedOn w:val="a0"/>
    <w:rsid w:val="00841691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96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FollowedHyperlink"/>
    <w:basedOn w:val="a0"/>
    <w:rsid w:val="00C055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anticorruption/Methods/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C763F-DD46-4F0D-8219-9D37E896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11160</CharactersWithSpaces>
  <SharedDoc>false</SharedDoc>
  <HLinks>
    <vt:vector size="174" baseType="variant">
      <vt:variant>
        <vt:i4>6815850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consultantplus://offline/ref=A1EB6811A1F09BB214DC2C19EDE59434CFF9F07A04ECFE5FD1FE172DwBjCA</vt:lpwstr>
      </vt:variant>
      <vt:variant>
        <vt:lpwstr/>
      </vt:variant>
      <vt:variant>
        <vt:i4>6225932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consultantplus://offline/ref=A1EB6811A1F09BB214DC2C19EDE59434C7F8FB7207EEA355D9A71B2FBBB67817A76AF3w0j5A</vt:lpwstr>
      </vt:variant>
      <vt:variant>
        <vt:lpwstr/>
      </vt:variant>
      <vt:variant>
        <vt:i4>5767170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6619240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consultantplus://offline/ref=A1EB6811A1F09BB214DC2C19EDE59434C7F8FB7207EEA355D9A71B2FBBB67817A76AF3066030956Fw7j3A</vt:lpwstr>
      </vt:variant>
      <vt:variant>
        <vt:lpwstr/>
      </vt:variant>
      <vt:variant>
        <vt:i4>6619242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consultantplus://offline/ref=A1EB6811A1F09BB214DC2C19EDE59434C7F8FB7207EEA355D9A71B2FBBB67817A76AF30660309561w7jFA</vt:lpwstr>
      </vt:variant>
      <vt:variant>
        <vt:lpwstr/>
      </vt:variant>
      <vt:variant>
        <vt:i4>3342393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3342393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2883641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consultantplus://offline/ref=46A8BBF37502C6CB8DA2D7DA7CB3DCB29D389D49D6578124C79C05F921D3D4F7A9E28A5FF3B5F677YCQAD</vt:lpwstr>
      </vt:variant>
      <vt:variant>
        <vt:lpwstr/>
      </vt:variant>
      <vt:variant>
        <vt:i4>6619241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consultantplus://offline/ref=A1EB6811A1F09BB214DC2C19EDE59434C7F8FB7106EEA355D9A71B2FBBB67817A76AF3066030906Aw7j2A</vt:lpwstr>
      </vt:variant>
      <vt:variant>
        <vt:lpwstr/>
      </vt:variant>
      <vt:variant>
        <vt:i4>6619199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consultantplus://offline/ref=A1EB6811A1F09BB214DC2C19EDE59434C7F8FE7307E5A355D9A71B2FBBB67817A76AF30660309461w7jDA</vt:lpwstr>
      </vt:variant>
      <vt:variant>
        <vt:lpwstr/>
      </vt:variant>
      <vt:variant>
        <vt:i4>7274553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consultantplus://offline/ref=A1EB6811A1F09BB214DC2C19EDE59434C7F8FB7207EEA355D9A71B2FBBB67817A76AF301w6j7A</vt:lpwstr>
      </vt:variant>
      <vt:variant>
        <vt:lpwstr/>
      </vt:variant>
      <vt:variant>
        <vt:i4>6619244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consultantplus://offline/ref=A1EB6811A1F09BB214DC2C19EDE59434C7F8FE7307E4A355D9A71B2FBBB67817A76AF3066030946Aw7jFA</vt:lpwstr>
      </vt:variant>
      <vt:variant>
        <vt:lpwstr/>
      </vt:variant>
      <vt:variant>
        <vt:i4>6619239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consultantplus://offline/ref=A1EB6811A1F09BB214DC2C19EDE59434C7F8F87B00E0A355D9A71B2FBBB67817A76AF30660309460w7j3A</vt:lpwstr>
      </vt:variant>
      <vt:variant>
        <vt:lpwstr/>
      </vt:variant>
      <vt:variant>
        <vt:i4>6619184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consultantplus://offline/ref=A1EB6811A1F09BB214DC2C19EDE59434C7F8F87B00E0A355D9A71B2FBBB67817A76AF30660309460w7jDA</vt:lpwstr>
      </vt:variant>
      <vt:variant>
        <vt:lpwstr/>
      </vt:variant>
      <vt:variant>
        <vt:i4>6619240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consultantplus://offline/ref=A1EB6811A1F09BB214DC2C19EDE59434C7F8FB7207EEA355D9A71B2FBBB67817A76AF30660309C6Bw7jAA</vt:lpwstr>
      </vt:variant>
      <vt:variant>
        <vt:lpwstr/>
      </vt:variant>
      <vt:variant>
        <vt:i4>6619243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consultantplus://offline/ref=A1EB6811A1F09BB214DC2C19EDE59434C7F8FB7207EEA355D9A71B2FBBB67817A76AF3066030956Ew7j3A</vt:lpwstr>
      </vt:variant>
      <vt:variant>
        <vt:lpwstr/>
      </vt:variant>
      <vt:variant>
        <vt:i4>6619195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consultantplus://offline/ref=A1EB6811A1F09BB214DC2C19EDE59434C7F8FB7207EEA355D9A71B2FBBB67817A76AF3066030956Cw7jEA</vt:lpwstr>
      </vt:variant>
      <vt:variant>
        <vt:lpwstr/>
      </vt:variant>
      <vt:variant>
        <vt:i4>655449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consultantplus://offline/ref=A1EB6811A1F09BB214DC2C19EDE59434C7F8F87B00E0A355D9A71B2FBBwBj6A</vt:lpwstr>
      </vt:variant>
      <vt:variant>
        <vt:lpwstr/>
      </vt:variant>
      <vt:variant>
        <vt:i4>655454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consultantplus://offline/ref=A1EB6811A1F09BB214DC2C19EDE59434C7F8F87B00E7A355D9A71B2FBBwBj6A</vt:lpwstr>
      </vt:variant>
      <vt:variant>
        <vt:lpwstr/>
      </vt:variant>
      <vt:variant>
        <vt:i4>6226000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consultantplus://offline/ref=A1EB6811A1F09BB214DC2C19EDE59434C7F8F87B00E0A355D9A71B2FBBB67817A76AF3w0j1A</vt:lpwstr>
      </vt:variant>
      <vt:variant>
        <vt:lpwstr/>
      </vt:variant>
      <vt:variant>
        <vt:i4>7274555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consultantplus://offline/ref=A1EB6811A1F09BB214DC2C19EDE59434C7F8FB7207EEA355D9A71B2FBBB67817A76AF304w6j0A</vt:lpwstr>
      </vt:variant>
      <vt:variant>
        <vt:lpwstr/>
      </vt:variant>
      <vt:variant>
        <vt:i4>6619198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consultantplus://offline/ref=A1EB6811A1F09BB214DC2C19EDE59434C7F8FB7207EEA355D9A71B2FBBB67817A76AF30660309560w7j3A</vt:lpwstr>
      </vt:variant>
      <vt:variant>
        <vt:lpwstr/>
      </vt:variant>
      <vt:variant>
        <vt:i4>6619241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consultantplus://offline/ref=A1EB6811A1F09BB214DC2C19EDE59434C7F8FB7207EEA355D9A71B2FBBB67817A76AF30660309560w7jDA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consultantplus://offline/ref=A1EB6811A1F09BB214DC2C19EDE59434C7F8F87B00E0A355D9A71B2FBBB67817A76AF30660309460w7jFA</vt:lpwstr>
      </vt:variant>
      <vt:variant>
        <vt:lpwstr/>
      </vt:variant>
      <vt:variant>
        <vt:i4>7012456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consultantplus://offline/ref=817DBC0B5B7821E31E174655C4166038673F9654608222E50C28BD7309C67592B6F49600FBC96DBByAC4M</vt:lpwstr>
      </vt:variant>
      <vt:variant>
        <vt:lpwstr/>
      </vt:variant>
      <vt:variant>
        <vt:i4>8060977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6357099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consultantplus://offline/ref=253AC46FD30FD7FDB91A61C8074C7D9C185BA49F8FE8F2DBE1CD9C37B2BF522953B066F1B66E0512J1v1M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Пользователь</cp:lastModifiedBy>
  <cp:revision>3</cp:revision>
  <cp:lastPrinted>2016-02-08T06:47:00Z</cp:lastPrinted>
  <dcterms:created xsi:type="dcterms:W3CDTF">2016-05-10T15:38:00Z</dcterms:created>
  <dcterms:modified xsi:type="dcterms:W3CDTF">2016-08-18T11:25:00Z</dcterms:modified>
</cp:coreProperties>
</file>